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1 Progress Report</w:t>
      </w:r>
    </w:p>
    <w:p>
      <w:pPr>
        <w:pStyle w:val="Subtitle"/>
      </w:pPr>
      <w:r>
        <w:t xml:space="preserve">Getting Started</w:t>
      </w:r>
    </w:p>
    <w:p>
      <w:pPr>
        <w:pStyle w:val="Author"/>
      </w:pPr>
      <w:r>
        <w:t xml:space="preserve">Jody Holland</w:t>
      </w:r>
    </w:p>
    <w:p>
      <w:pPr>
        <w:pStyle w:val="Date"/>
      </w:pPr>
      <w:r>
        <w:t xml:space="preserve">2025-10-20</w:t>
      </w:r>
    </w:p>
    <w:bookmarkStart w:id="21" w:name="progress-this-week"/>
    <w:p>
      <w:pPr>
        <w:pStyle w:val="Heading2"/>
      </w:pPr>
      <w:r>
        <w:t xml:space="preserve">Progress This Week</w:t>
      </w:r>
    </w:p>
    <w:p>
      <w:pPr>
        <w:numPr>
          <w:ilvl w:val="0"/>
          <w:numId w:val="1001"/>
        </w:numPr>
      </w:pPr>
      <w:r>
        <w:t xml:space="preserve">Moved into College and restarted work</w:t>
      </w:r>
    </w:p>
    <w:p>
      <w:pPr>
        <w:numPr>
          <w:ilvl w:val="0"/>
          <w:numId w:val="1001"/>
        </w:numPr>
      </w:pPr>
      <w:r>
        <w:t xml:space="preserve">Have determined what funding is available to me through my bursary (£75 a month for books, £3000 over the course for conferences, £500 a year for equipment).</w:t>
      </w:r>
    </w:p>
    <w:p>
      <w:pPr>
        <w:pStyle w:val="Compact"/>
        <w:numPr>
          <w:ilvl w:val="1"/>
          <w:numId w:val="1002"/>
        </w:numPr>
      </w:pPr>
      <w:r>
        <w:t xml:space="preserve">Also some osptions for field work funding in SEA</w:t>
      </w:r>
    </w:p>
    <w:p>
      <w:pPr>
        <w:pStyle w:val="Compact"/>
        <w:numPr>
          <w:ilvl w:val="2"/>
          <w:numId w:val="1003"/>
        </w:numPr>
      </w:pPr>
      <w:r>
        <w:t xml:space="preserve">Notably the Selena Sun Travel and Research Fund from Trinity</w:t>
      </w:r>
    </w:p>
    <w:p>
      <w:pPr>
        <w:pStyle w:val="Compact"/>
        <w:numPr>
          <w:ilvl w:val="2"/>
          <w:numId w:val="1003"/>
        </w:numPr>
      </w:pPr>
      <w:r>
        <w:t xml:space="preserve">Deadline for Applications is the 13th February 2026</w:t>
      </w:r>
    </w:p>
    <w:p>
      <w:pPr>
        <w:pStyle w:val="Compact"/>
        <w:numPr>
          <w:ilvl w:val="2"/>
          <w:numId w:val="1003"/>
        </w:numPr>
      </w:pPr>
      <w:r>
        <w:t xml:space="preserve">Covers China, Thailand, Vietnam, Laos, Myanmar (bad idea!), Malaysia, Indonesia, the Philippines ect.</w:t>
      </w:r>
    </w:p>
    <w:p>
      <w:pPr>
        <w:numPr>
          <w:ilvl w:val="0"/>
          <w:numId w:val="1001"/>
        </w:numPr>
      </w:pPr>
      <w:r>
        <w:t xml:space="preserve">Started Feasibility Report plan and made good progress</w:t>
      </w:r>
    </w:p>
    <w:p>
      <w:pPr>
        <w:pStyle w:val="Compact"/>
        <w:numPr>
          <w:ilvl w:val="1"/>
          <w:numId w:val="1004"/>
        </w:numPr>
      </w:pPr>
      <w:r>
        <w:t xml:space="preserve">Fleshed out background section (500 words)</w:t>
      </w:r>
    </w:p>
    <w:p>
      <w:pPr>
        <w:pStyle w:val="Compact"/>
        <w:numPr>
          <w:ilvl w:val="1"/>
          <w:numId w:val="1004"/>
        </w:numPr>
      </w:pPr>
      <w:r>
        <w:t xml:space="preserve">Have aimed to produce a brief overview of the current</w:t>
      </w:r>
      <w:r>
        <w:t xml:space="preserve"> </w:t>
      </w:r>
      <w:r>
        <w:t xml:space="preserve">“state of the science”</w:t>
      </w:r>
    </w:p>
    <w:p>
      <w:pPr>
        <w:pStyle w:val="Compact"/>
        <w:numPr>
          <w:ilvl w:val="1"/>
          <w:numId w:val="1004"/>
        </w:numPr>
      </w:pPr>
      <w:r>
        <w:t xml:space="preserve">Pretty happy with the introduction</w:t>
      </w:r>
    </w:p>
    <w:p>
      <w:pPr>
        <w:numPr>
          <w:ilvl w:val="0"/>
          <w:numId w:val="1001"/>
        </w:numPr>
      </w:pPr>
      <w:r>
        <w:t xml:space="preserve">Made a flow chart outlining the local leakage methods</w:t>
      </w:r>
    </w:p>
    <w:p>
      <w:pPr>
        <w:pStyle w:val="Compact"/>
        <w:numPr>
          <w:ilvl w:val="1"/>
          <w:numId w:val="1005"/>
        </w:numPr>
      </w:pPr>
      <w:hyperlink r:id="rId20">
        <w:r>
          <w:rPr>
            <w:rStyle w:val="Hyperlink"/>
          </w:rPr>
          <w:t xml:space="preserve">PDF of flowchart is here</w:t>
        </w:r>
      </w:hyperlink>
    </w:p>
    <w:p>
      <w:pPr>
        <w:numPr>
          <w:ilvl w:val="0"/>
          <w:numId w:val="1001"/>
        </w:numPr>
      </w:pPr>
      <w:r>
        <w:t xml:space="preserve">Began work on a conceptual framework to hypothesise what could induce a landscape to be more or less prone to local leakage</w:t>
      </w:r>
    </w:p>
    <w:p>
      <w:pPr>
        <w:pStyle w:val="Compact"/>
        <w:numPr>
          <w:ilvl w:val="1"/>
          <w:numId w:val="1006"/>
        </w:numPr>
      </w:pPr>
      <w:r>
        <w:t xml:space="preserve">Emphasised the context of the economic activities occurring</w:t>
      </w:r>
    </w:p>
    <w:p>
      <w:pPr>
        <w:pStyle w:val="Compact"/>
        <w:numPr>
          <w:ilvl w:val="1"/>
          <w:numId w:val="1006"/>
        </w:numPr>
      </w:pPr>
      <w:r>
        <w:t xml:space="preserve">Exploring the concept of</w:t>
      </w:r>
      <w:r>
        <w:t xml:space="preserve"> </w:t>
      </w:r>
      <w:r>
        <w:t xml:space="preserve">“Factor Mobility”</w:t>
      </w:r>
    </w:p>
    <w:p>
      <w:pPr>
        <w:pStyle w:val="Compact"/>
        <w:numPr>
          <w:ilvl w:val="2"/>
          <w:numId w:val="1007"/>
        </w:numPr>
      </w:pPr>
      <w:r>
        <w:t xml:space="preserve">A concept taken from New Economic Geography (Krugman etc.)</w:t>
      </w:r>
    </w:p>
    <w:p>
      <w:pPr>
        <w:pStyle w:val="Compact"/>
        <w:numPr>
          <w:ilvl w:val="2"/>
          <w:numId w:val="1007"/>
        </w:numPr>
      </w:pPr>
      <w:r>
        <w:t xml:space="preserve">Denotes the degree to which an activity/industry could move across borders and landscapes</w:t>
      </w:r>
    </w:p>
    <w:p>
      <w:pPr>
        <w:pStyle w:val="Compact"/>
        <w:numPr>
          <w:ilvl w:val="2"/>
          <w:numId w:val="1007"/>
        </w:numPr>
      </w:pPr>
      <w:r>
        <w:t xml:space="preserve">Incorporates both how mobile the workforce might be and how regionally specific a particular activity might be</w:t>
      </w:r>
    </w:p>
    <w:p>
      <w:pPr>
        <w:pStyle w:val="Compact"/>
        <w:numPr>
          <w:ilvl w:val="1"/>
          <w:numId w:val="1006"/>
        </w:numPr>
      </w:pPr>
      <w:r>
        <w:t xml:space="preserve">Also examined how landscape topography could interact with local leakage propensity beyond factor mobility</w:t>
      </w:r>
    </w:p>
    <w:p>
      <w:pPr>
        <w:pStyle w:val="Compact"/>
        <w:numPr>
          <w:ilvl w:val="2"/>
          <w:numId w:val="1008"/>
        </w:numPr>
      </w:pPr>
      <w:r>
        <w:t xml:space="preserve">Specifically the positioning on the protected area within the landscape</w:t>
      </w:r>
    </w:p>
    <w:p>
      <w:pPr>
        <w:pStyle w:val="Compact"/>
        <w:numPr>
          <w:ilvl w:val="2"/>
          <w:numId w:val="1008"/>
        </w:numPr>
      </w:pPr>
      <w:r>
        <w:t xml:space="preserve">PAs are often located in the most politically convenient places - not the most ecologically critical</w:t>
      </w:r>
    </w:p>
    <w:p>
      <w:pPr>
        <w:pStyle w:val="Compact"/>
        <w:numPr>
          <w:ilvl w:val="2"/>
          <w:numId w:val="1008"/>
        </w:numPr>
      </w:pPr>
      <w:r>
        <w:t xml:space="preserve">Could mean that there is little economic pressure on the periphery of projects</w:t>
      </w:r>
    </w:p>
    <w:p>
      <w:pPr>
        <w:pStyle w:val="Compact"/>
        <w:numPr>
          <w:ilvl w:val="2"/>
          <w:numId w:val="1008"/>
        </w:numPr>
      </w:pPr>
      <w:r>
        <w:t xml:space="preserve">Could also mean that the people living in the vicinity of the PA have little political or economic power to resist the imposition of a PA</w:t>
      </w:r>
    </w:p>
    <w:p>
      <w:pPr>
        <w:numPr>
          <w:ilvl w:val="0"/>
          <w:numId w:val="1001"/>
        </w:numPr>
      </w:pPr>
      <w:r>
        <w:t xml:space="preserve">Read Dasguta’s On Natural Capital</w:t>
      </w:r>
    </w:p>
    <w:p>
      <w:pPr>
        <w:pStyle w:val="Compact"/>
        <w:numPr>
          <w:ilvl w:val="1"/>
          <w:numId w:val="1009"/>
        </w:numPr>
      </w:pPr>
      <w:r>
        <w:t xml:space="preserve">Not too much that I hadn’t already been introduced to</w:t>
      </w:r>
    </w:p>
    <w:p>
      <w:pPr>
        <w:pStyle w:val="Compact"/>
        <w:numPr>
          <w:ilvl w:val="1"/>
          <w:numId w:val="1009"/>
        </w:numPr>
      </w:pPr>
      <w:r>
        <w:t xml:space="preserve">Was a pretty eloquent framing of ecological damage as a</w:t>
      </w:r>
      <w:r>
        <w:t xml:space="preserve"> </w:t>
      </w:r>
      <w:r>
        <w:t xml:space="preserve">“tragedy of the commons”</w:t>
      </w:r>
      <w:r>
        <w:t xml:space="preserve"> </w:t>
      </w:r>
      <w:r>
        <w:t xml:space="preserve">in absence of accurate pricing of natural captial</w:t>
      </w:r>
    </w:p>
    <w:p>
      <w:pPr>
        <w:numPr>
          <w:ilvl w:val="0"/>
          <w:numId w:val="1001"/>
        </w:numPr>
      </w:pPr>
      <w:r>
        <w:t xml:space="preserve">Studied Brodie et al. (2023)</w:t>
      </w:r>
    </w:p>
    <w:p>
      <w:pPr>
        <w:pStyle w:val="Compact"/>
        <w:numPr>
          <w:ilvl w:val="1"/>
          <w:numId w:val="1010"/>
        </w:numPr>
      </w:pPr>
      <w:r>
        <w:t xml:space="preserve">Pretty fascinating how they conclude that PAs can have positive impacts on biodiversity across a landscape</w:t>
      </w:r>
    </w:p>
    <w:p>
      <w:pPr>
        <w:pStyle w:val="Compact"/>
        <w:numPr>
          <w:ilvl w:val="1"/>
          <w:numId w:val="1010"/>
        </w:numPr>
      </w:pPr>
      <w:r>
        <w:t xml:space="preserve">Notably in the case of mammals they find that PAs could lead to safeguarded source populations</w:t>
      </w:r>
    </w:p>
    <w:p>
      <w:pPr>
        <w:pStyle w:val="Compact"/>
        <w:numPr>
          <w:ilvl w:val="2"/>
          <w:numId w:val="1011"/>
        </w:numPr>
      </w:pPr>
      <w:r>
        <w:t xml:space="preserve">That would incur density driven dispersal of animals across a landscape, even if that landscape is degraded habitat</w:t>
      </w:r>
    </w:p>
    <w:p>
      <w:pPr>
        <w:pStyle w:val="Compact"/>
        <w:numPr>
          <w:ilvl w:val="1"/>
          <w:numId w:val="1010"/>
        </w:numPr>
      </w:pPr>
      <w:r>
        <w:t xml:space="preserve">This could mean that even if we see elevated habitat destruction around a project there could nonetheless be positive spillovers for biodiversity in the landscape</w:t>
      </w:r>
    </w:p>
    <w:p>
      <w:pPr>
        <w:pStyle w:val="Compact"/>
        <w:numPr>
          <w:ilvl w:val="2"/>
          <w:numId w:val="1012"/>
        </w:numPr>
      </w:pPr>
      <w:r>
        <w:t xml:space="preserve">Land Sparing wins again?</w:t>
      </w:r>
    </w:p>
    <w:p>
      <w:pPr>
        <w:numPr>
          <w:ilvl w:val="0"/>
          <w:numId w:val="1001"/>
        </w:numPr>
      </w:pPr>
      <w:r>
        <w:t xml:space="preserve">Studied Lui and Coomes (2015)</w:t>
      </w:r>
    </w:p>
    <w:p>
      <w:pPr>
        <w:numPr>
          <w:ilvl w:val="1"/>
          <w:numId w:val="1013"/>
        </w:numPr>
      </w:pPr>
      <w:r>
        <w:t xml:space="preserve">They find no evidence for local leakage</w:t>
      </w:r>
    </w:p>
    <w:p>
      <w:pPr>
        <w:numPr>
          <w:ilvl w:val="1"/>
          <w:numId w:val="1013"/>
        </w:numPr>
      </w:pPr>
      <w:r>
        <w:t xml:space="preserve">Some issues with their approach (no dynamic baselines)</w:t>
      </w:r>
    </w:p>
    <w:p>
      <w:pPr>
        <w:numPr>
          <w:ilvl w:val="1"/>
          <w:numId w:val="1013"/>
        </w:numPr>
      </w:pPr>
      <w:r>
        <w:t xml:space="preserve">Also they don’t explore any link between the relative rate of additionality within projects and any rate of leakage in the buffer</w:t>
      </w:r>
    </w:p>
    <w:p>
      <w:pPr>
        <w:numPr>
          <w:ilvl w:val="0"/>
          <w:numId w:val="1001"/>
        </w:numPr>
      </w:pPr>
      <w:r>
        <w:t xml:space="preserve">Set up Quarto website for progress tracking</w:t>
      </w:r>
    </w:p>
    <w:p>
      <w:pPr>
        <w:pStyle w:val="Compact"/>
        <w:numPr>
          <w:ilvl w:val="1"/>
          <w:numId w:val="1014"/>
        </w:numPr>
      </w:pPr>
      <w:r>
        <w:t xml:space="preserve">When new reports are made they are automatically rendered as html, word, and pdf formats and added to the site.</w:t>
      </w:r>
    </w:p>
    <w:p>
      <w:pPr>
        <w:numPr>
          <w:ilvl w:val="0"/>
          <w:numId w:val="1001"/>
        </w:numPr>
      </w:pPr>
      <w:r>
        <w:t xml:space="preserve">Began testing PACT V3 to see if it it fungible and robust</w:t>
      </w:r>
    </w:p>
    <w:p>
      <w:pPr>
        <w:numPr>
          <w:ilvl w:val="1"/>
          <w:numId w:val="1015"/>
        </w:numPr>
      </w:pPr>
      <w:r>
        <w:t xml:space="preserve">Checked if the sum of additionality from Gola North, Central and South was equal to the additionality reading from running the project as a whole</w:t>
      </w:r>
    </w:p>
    <w:p>
      <w:pPr>
        <w:pStyle w:val="Compact"/>
        <w:numPr>
          <w:ilvl w:val="2"/>
          <w:numId w:val="1016"/>
        </w:numPr>
      </w:pPr>
      <w:r>
        <w:t xml:space="preserve">96.4% the same</w:t>
      </w:r>
    </w:p>
    <w:p>
      <w:pPr>
        <w:numPr>
          <w:ilvl w:val="1"/>
          <w:numId w:val="1015"/>
        </w:numPr>
      </w:pPr>
      <w:r>
        <w:t xml:space="preserve">Started running PACT V3 across 35 placebo projects</w:t>
      </w:r>
    </w:p>
    <w:p>
      <w:pPr>
        <w:numPr>
          <w:ilvl w:val="0"/>
          <w:numId w:val="1001"/>
        </w:numPr>
      </w:pPr>
      <w:r>
        <w:t xml:space="preserve">Finished up some of the residual tasks for REDD+ paper</w:t>
      </w:r>
    </w:p>
    <w:p>
      <w:pPr>
        <w:numPr>
          <w:ilvl w:val="0"/>
          <w:numId w:val="1001"/>
        </w:numPr>
      </w:pPr>
      <w:r>
        <w:t xml:space="preserve">Began running carbon density analysis on Gola Buffer villages</w:t>
      </w:r>
    </w:p>
    <w:p>
      <w:pPr>
        <w:numPr>
          <w:ilvl w:val="0"/>
          <w:numId w:val="1001"/>
        </w:numPr>
      </w:pPr>
      <w:r>
        <w:t xml:space="preserve">Got my head around the Zoology PhD training log</w:t>
      </w:r>
    </w:p>
    <w:p>
      <w:pPr>
        <w:numPr>
          <w:ilvl w:val="0"/>
          <w:numId w:val="1001"/>
        </w:numPr>
      </w:pPr>
      <w:r>
        <w:t xml:space="preserve">Had a look at the Choice of Advisors page</w:t>
      </w:r>
    </w:p>
    <w:p>
      <w:pPr>
        <w:pStyle w:val="Compact"/>
        <w:numPr>
          <w:ilvl w:val="1"/>
          <w:numId w:val="1017"/>
        </w:numPr>
      </w:pPr>
      <w:r>
        <w:t xml:space="preserve">Currently looking at Lynn Dicks and Ed Turner</w:t>
      </w:r>
    </w:p>
    <w:bookmarkEnd w:id="21"/>
    <w:bookmarkStart w:id="22" w:name="problems-encountered"/>
    <w:p>
      <w:pPr>
        <w:pStyle w:val="Heading2"/>
      </w:pPr>
      <w:r>
        <w:t xml:space="preserve">Problems Encountered</w:t>
      </w:r>
    </w:p>
    <w:p>
      <w:pPr>
        <w:pStyle w:val="Compact"/>
        <w:numPr>
          <w:ilvl w:val="0"/>
          <w:numId w:val="1018"/>
        </w:numPr>
      </w:pPr>
      <w:r>
        <w:t xml:space="preserve">College is taking some time paying me my stipend, hopefully will be resolved soon (I have some savings to dip into so not an issue</w:t>
      </w:r>
    </w:p>
    <w:p>
      <w:pPr>
        <w:pStyle w:val="Compact"/>
        <w:numPr>
          <w:ilvl w:val="0"/>
          <w:numId w:val="1018"/>
        </w:numPr>
      </w:pPr>
      <w:r>
        <w:t xml:space="preserve">Due to not having accommodation, I was unable to attend the induction day, although I have made up for this by attending the safety workshop later, I have yet to meet any other Zoology PhD students other than Robin in Rob’s group</w:t>
      </w:r>
    </w:p>
    <w:p>
      <w:pPr>
        <w:pStyle w:val="Compact"/>
        <w:numPr>
          <w:ilvl w:val="0"/>
          <w:numId w:val="1018"/>
        </w:numPr>
      </w:pPr>
      <w:r>
        <w:t xml:space="preserve">I’m having difficulties making sure my Feasibility Report sections are succinct and direct.</w:t>
      </w:r>
    </w:p>
    <w:p>
      <w:pPr>
        <w:pStyle w:val="Compact"/>
        <w:numPr>
          <w:ilvl w:val="1"/>
          <w:numId w:val="1019"/>
        </w:numPr>
      </w:pPr>
      <w:r>
        <w:t xml:space="preserve">Specifically, what is the core message I want to communicate in the background section?</w:t>
      </w:r>
    </w:p>
    <w:p>
      <w:pPr>
        <w:pStyle w:val="Compact"/>
        <w:numPr>
          <w:ilvl w:val="1"/>
          <w:numId w:val="1019"/>
        </w:numPr>
      </w:pPr>
      <w:r>
        <w:t xml:space="preserve">500 words to summarise the</w:t>
      </w:r>
      <w:r>
        <w:t xml:space="preserve"> </w:t>
      </w:r>
      <w:r>
        <w:t xml:space="preserve">“state of science”</w:t>
      </w:r>
      <w:r>
        <w:t xml:space="preserve"> </w:t>
      </w:r>
      <w:r>
        <w:t xml:space="preserve">around tropical forest leakage</w:t>
      </w:r>
    </w:p>
    <w:p>
      <w:pPr>
        <w:pStyle w:val="Compact"/>
        <w:numPr>
          <w:ilvl w:val="1"/>
          <w:numId w:val="1019"/>
        </w:numPr>
      </w:pPr>
      <w:r>
        <w:t xml:space="preserve">Struggling to maintain</w:t>
      </w:r>
      <w:r>
        <w:t xml:space="preserve"> </w:t>
      </w:r>
      <w:r>
        <w:rPr>
          <w:i/>
          <w:iCs/>
        </w:rPr>
        <w:t xml:space="preserve">message discipline</w:t>
      </w:r>
    </w:p>
    <w:p>
      <w:pPr>
        <w:pStyle w:val="Compact"/>
        <w:numPr>
          <w:ilvl w:val="1"/>
          <w:numId w:val="1019"/>
        </w:numPr>
      </w:pPr>
      <w:r>
        <w:t xml:space="preserve">Also want to find space to add in</w:t>
      </w:r>
      <w:r>
        <w:t xml:space="preserve"> </w:t>
      </w:r>
      <w:r>
        <w:t xml:space="preserve">‘Biodiversity Leak’</w:t>
      </w:r>
      <w:r>
        <w:t xml:space="preserve"> </w:t>
      </w:r>
      <w:r>
        <w:t xml:space="preserve">paper</w:t>
      </w:r>
    </w:p>
    <w:p>
      <w:pPr>
        <w:pStyle w:val="Compact"/>
        <w:numPr>
          <w:ilvl w:val="0"/>
          <w:numId w:val="1018"/>
        </w:numPr>
      </w:pPr>
      <w:r>
        <w:t xml:space="preserve">With the section on research plan, I’m trying to neatly split the CLOCs and BLOCs concept into individual separated studies</w:t>
      </w:r>
    </w:p>
    <w:p>
      <w:pPr>
        <w:pStyle w:val="Compact"/>
        <w:numPr>
          <w:ilvl w:val="1"/>
          <w:numId w:val="1020"/>
        </w:numPr>
      </w:pPr>
      <w:r>
        <w:t xml:space="preserve">Should one chapter be about the nuances and trades offs in building the map and another be its utilities and uses.</w:t>
      </w:r>
    </w:p>
    <w:p>
      <w:pPr>
        <w:pStyle w:val="Compact"/>
        <w:numPr>
          <w:ilvl w:val="1"/>
          <w:numId w:val="1020"/>
        </w:numPr>
      </w:pPr>
      <w:r>
        <w:t xml:space="preserve">This is inspired by Ali’s approach to LIFE</w:t>
      </w:r>
    </w:p>
    <w:p>
      <w:pPr>
        <w:pStyle w:val="Compact"/>
        <w:numPr>
          <w:ilvl w:val="2"/>
          <w:numId w:val="1021"/>
        </w:numPr>
      </w:pPr>
      <w:r>
        <w:t xml:space="preserve">Paper on how it works</w:t>
      </w:r>
    </w:p>
    <w:p>
      <w:pPr>
        <w:pStyle w:val="Compact"/>
        <w:numPr>
          <w:ilvl w:val="2"/>
          <w:numId w:val="1021"/>
        </w:numPr>
      </w:pPr>
      <w:r>
        <w:t xml:space="preserve">Paper demonstrating it’s uses</w:t>
      </w:r>
    </w:p>
    <w:p>
      <w:pPr>
        <w:pStyle w:val="Compact"/>
        <w:numPr>
          <w:ilvl w:val="1"/>
          <w:numId w:val="1020"/>
        </w:numPr>
      </w:pPr>
      <w:r>
        <w:t xml:space="preserve">For methods, I’m struggling to determine how detailed I need to be</w:t>
      </w:r>
    </w:p>
    <w:p>
      <w:pPr>
        <w:pStyle w:val="Compact"/>
        <w:numPr>
          <w:ilvl w:val="2"/>
          <w:numId w:val="1022"/>
        </w:numPr>
      </w:pPr>
      <w:r>
        <w:t xml:space="preserve">Word limitations are significant *(500-100)</w:t>
      </w:r>
    </w:p>
    <w:p>
      <w:pPr>
        <w:pStyle w:val="Compact"/>
        <w:numPr>
          <w:ilvl w:val="2"/>
          <w:numId w:val="1022"/>
        </w:numPr>
      </w:pPr>
      <w:r>
        <w:t xml:space="preserve">I need to determine what isa the appropriate and realistic experimental design for local leakage</w:t>
      </w:r>
    </w:p>
    <w:p>
      <w:pPr>
        <w:pStyle w:val="Compact"/>
        <w:numPr>
          <w:ilvl w:val="2"/>
          <w:numId w:val="1022"/>
        </w:numPr>
      </w:pPr>
      <w:r>
        <w:t xml:space="preserve">I think I will include my conceptual framework into the report</w:t>
      </w:r>
    </w:p>
    <w:p>
      <w:pPr>
        <w:pStyle w:val="Compact"/>
        <w:numPr>
          <w:ilvl w:val="0"/>
          <w:numId w:val="1018"/>
        </w:numPr>
      </w:pPr>
      <w:r>
        <w:t xml:space="preserve">Resources and Costs section</w:t>
      </w:r>
    </w:p>
    <w:p>
      <w:pPr>
        <w:pStyle w:val="Compact"/>
        <w:numPr>
          <w:ilvl w:val="1"/>
          <w:numId w:val="1023"/>
        </w:numPr>
      </w:pPr>
      <w:r>
        <w:t xml:space="preserve">A bit confusing, costs at the moment are minimal</w:t>
      </w:r>
    </w:p>
    <w:p>
      <w:pPr>
        <w:pStyle w:val="Compact"/>
        <w:numPr>
          <w:ilvl w:val="1"/>
          <w:numId w:val="1023"/>
        </w:numPr>
      </w:pPr>
      <w:r>
        <w:t xml:space="preserve">But this could change if I do field work and an exchange</w:t>
      </w:r>
    </w:p>
    <w:p>
      <w:pPr>
        <w:pStyle w:val="Compact"/>
        <w:numPr>
          <w:ilvl w:val="1"/>
          <w:numId w:val="1023"/>
        </w:numPr>
      </w:pPr>
      <w:r>
        <w:t xml:space="preserve">I also plan to attend conferences (BES ect.) should I put this down</w:t>
      </w:r>
    </w:p>
    <w:p>
      <w:pPr>
        <w:pStyle w:val="Compact"/>
        <w:numPr>
          <w:ilvl w:val="0"/>
          <w:numId w:val="1018"/>
        </w:numPr>
      </w:pPr>
      <w:r>
        <w:t xml:space="preserve">Training</w:t>
      </w:r>
    </w:p>
    <w:p>
      <w:pPr>
        <w:pStyle w:val="Compact"/>
        <w:numPr>
          <w:ilvl w:val="1"/>
          <w:numId w:val="1024"/>
        </w:numPr>
      </w:pPr>
      <w:r>
        <w:t xml:space="preserve">Need to find training courses relevant to my aims</w:t>
      </w:r>
    </w:p>
    <w:p>
      <w:pPr>
        <w:pStyle w:val="Compact"/>
        <w:numPr>
          <w:ilvl w:val="2"/>
          <w:numId w:val="1025"/>
        </w:numPr>
      </w:pPr>
      <w:r>
        <w:t xml:space="preserve">Hoping to find public speaking training, as well as econometric refreshers</w:t>
      </w:r>
    </w:p>
    <w:p>
      <w:pPr>
        <w:pStyle w:val="Compact"/>
        <w:numPr>
          <w:ilvl w:val="2"/>
          <w:numId w:val="1025"/>
        </w:numPr>
      </w:pPr>
      <w:r>
        <w:t xml:space="preserve">Also looking into TESSERA workshops and if they count as training</w:t>
      </w:r>
    </w:p>
    <w:bookmarkEnd w:id="22"/>
    <w:bookmarkStart w:id="31" w:name="plans-for-next-week"/>
    <w:p>
      <w:pPr>
        <w:pStyle w:val="Heading2"/>
      </w:pPr>
      <w:r>
        <w:t xml:space="preserve">Plans for Next Week</w:t>
      </w:r>
    </w:p>
    <w:p>
      <w:pPr>
        <w:numPr>
          <w:ilvl w:val="0"/>
          <w:numId w:val="1026"/>
        </w:numPr>
      </w:pPr>
      <w:r>
        <w:t xml:space="preserve">Finish Research Aims section of Feasibility Report</w:t>
      </w:r>
    </w:p>
    <w:p>
      <w:pPr>
        <w:pStyle w:val="Compact"/>
        <w:numPr>
          <w:ilvl w:val="1"/>
          <w:numId w:val="1027"/>
        </w:numPr>
      </w:pPr>
      <w:r>
        <w:t xml:space="preserve">Make a secondary flowchart outlining CLOCs and BLOCs</w:t>
      </w:r>
    </w:p>
    <w:p>
      <w:pPr>
        <w:numPr>
          <w:ilvl w:val="0"/>
          <w:numId w:val="1026"/>
        </w:numPr>
      </w:pPr>
      <w:r>
        <w:t xml:space="preserve">Sign onto a training course to happen in November</w:t>
      </w:r>
    </w:p>
    <w:p>
      <w:pPr>
        <w:numPr>
          <w:ilvl w:val="0"/>
          <w:numId w:val="1026"/>
        </w:numPr>
      </w:pPr>
      <w:r>
        <w:t xml:space="preserve">Draft a short field work idea to have in the back-pocket</w:t>
      </w:r>
    </w:p>
    <w:p>
      <w:pPr>
        <w:numPr>
          <w:ilvl w:val="0"/>
          <w:numId w:val="1026"/>
        </w:numPr>
      </w:pPr>
      <w:r>
        <w:t xml:space="preserve">Arrange TESSERA training workshop (talk to Keshav at next weeks lab lunch)</w:t>
      </w:r>
    </w:p>
    <w:p>
      <w:pPr>
        <w:numPr>
          <w:ilvl w:val="0"/>
          <w:numId w:val="1026"/>
        </w:numPr>
      </w:pPr>
      <w:r>
        <w:t xml:space="preserve">Produce the placebo results of PACT to allow us to know its relative predictive accuracy around the world (for SI of chapter 1)</w:t>
      </w:r>
    </w:p>
    <w:p>
      <w:pPr>
        <w:numPr>
          <w:ilvl w:val="0"/>
          <w:numId w:val="1026"/>
        </w:numPr>
      </w:pPr>
      <w:r>
        <w:t xml:space="preserve">Identify the set of REDD+ project and their metadata to run leakage analysis on</w:t>
      </w:r>
    </w:p>
    <w:p>
      <w:pPr>
        <w:numPr>
          <w:ilvl w:val="0"/>
          <w:numId w:val="1026"/>
        </w:numPr>
      </w:pPr>
      <w:r>
        <w:t xml:space="preserve">Determine the metrics to be used for damage in leakage analysis</w:t>
      </w:r>
    </w:p>
    <w:p>
      <w:pPr>
        <w:numPr>
          <w:ilvl w:val="1"/>
          <w:numId w:val="1028"/>
        </w:numPr>
      </w:pPr>
      <w:r>
        <w:t xml:space="preserve">Forest cover</w:t>
      </w:r>
    </w:p>
    <w:p>
      <w:pPr>
        <w:numPr>
          <w:ilvl w:val="1"/>
          <w:numId w:val="1028"/>
        </w:numPr>
      </w:pPr>
      <w:r>
        <w:t xml:space="preserve">Extinction Risk</w:t>
      </w:r>
    </w:p>
    <w:p>
      <w:pPr>
        <w:numPr>
          <w:ilvl w:val="1"/>
          <w:numId w:val="1028"/>
        </w:numPr>
      </w:pPr>
      <w:r>
        <w:t xml:space="preserve">Forest Carbon</w:t>
      </w:r>
    </w:p>
    <w:p>
      <w:pPr>
        <w:numPr>
          <w:ilvl w:val="0"/>
          <w:numId w:val="1026"/>
        </w:numPr>
      </w:pPr>
      <w:r>
        <w:t xml:space="preserve">Study the following papers for potential reference and guidance for the Feasibility Report.</w:t>
      </w:r>
    </w:p>
    <w:p>
      <w:pPr>
        <w:numPr>
          <w:ilvl w:val="0"/>
          <w:numId w:val="1000"/>
        </w:numPr>
      </w:pPr>
      <w:r>
        <w:t xml:space="preserve">Balmford, A., Green, R., &amp; Phalan, B. (2015). Land for Food &amp; Land for Nature?</w:t>
      </w:r>
      <w:r>
        <w:t xml:space="preserve"> </w:t>
      </w:r>
      <w:r>
        <w:rPr>
          <w:i/>
          <w:iCs/>
        </w:rPr>
        <w:t xml:space="preserve">Daedalus</w:t>
      </w:r>
      <w:r>
        <w:t xml:space="preserve">,</w:t>
      </w:r>
      <w:r>
        <w:t xml:space="preserve"> </w:t>
      </w:r>
      <w:r>
        <w:rPr>
          <w:i/>
          <w:iCs/>
        </w:rPr>
        <w:t xml:space="preserve">144</w:t>
      </w:r>
      <w:r>
        <w:t xml:space="preserve">(4), 57–75.</w:t>
      </w:r>
      <w:r>
        <w:t xml:space="preserve"> </w:t>
      </w:r>
      <w:hyperlink r:id="rId23">
        <w:r>
          <w:rPr>
            <w:rStyle w:val="Hyperlink"/>
          </w:rPr>
          <w:t xml:space="preserve">https://doi.org/10.1162/DAED_a_00354</w:t>
        </w:r>
      </w:hyperlink>
    </w:p>
    <w:p>
      <w:pPr>
        <w:numPr>
          <w:ilvl w:val="0"/>
          <w:numId w:val="1000"/>
        </w:numPr>
      </w:pPr>
      <w:r>
        <w:t xml:space="preserve">Bitariho, R., Akampurira, E., &amp; Mugerwa, B. (2022). Long-term funding of community projects has contributed to mitigation of illegal activities within a premier African protected area, Bwindi impenetrable National Park, Uganda.</w:t>
      </w:r>
      <w:r>
        <w:t xml:space="preserve"> </w:t>
      </w:r>
      <w:r>
        <w:rPr>
          <w:i/>
          <w:iCs/>
        </w:rPr>
        <w:t xml:space="preserve">Conservation Science and Practice</w:t>
      </w:r>
      <w:r>
        <w:t xml:space="preserve">,</w:t>
      </w:r>
      <w:r>
        <w:t xml:space="preserve"> </w:t>
      </w:r>
      <w:r>
        <w:rPr>
          <w:i/>
          <w:iCs/>
        </w:rPr>
        <w:t xml:space="preserve">4</w:t>
      </w:r>
      <w:r>
        <w:t xml:space="preserve">(9), e12761.</w:t>
      </w:r>
      <w:r>
        <w:t xml:space="preserve"> </w:t>
      </w:r>
      <w:hyperlink r:id="rId24">
        <w:r>
          <w:rPr>
            <w:rStyle w:val="Hyperlink"/>
          </w:rPr>
          <w:t xml:space="preserve">https://doi.org/10.1111/csp2.12761</w:t>
        </w:r>
      </w:hyperlink>
    </w:p>
    <w:p>
      <w:pPr>
        <w:numPr>
          <w:ilvl w:val="0"/>
          <w:numId w:val="1000"/>
        </w:numPr>
      </w:pPr>
      <w:r>
        <w:t xml:space="preserve">Fuller, C., Ondei, S., Brook, B. W., &amp; Buettel, J. C. (2020). Protected-area planning in the Brazilian Amazon should prioritize additionality and permanence, not leakage mitigation.</w:t>
      </w:r>
      <w:r>
        <w:t xml:space="preserve"> </w:t>
      </w:r>
      <w:r>
        <w:rPr>
          <w:i/>
          <w:iCs/>
        </w:rPr>
        <w:t xml:space="preserve">Biological Conservation</w:t>
      </w:r>
      <w:r>
        <w:t xml:space="preserve">,</w:t>
      </w:r>
      <w:r>
        <w:t xml:space="preserve"> </w:t>
      </w:r>
      <w:r>
        <w:rPr>
          <w:i/>
          <w:iCs/>
        </w:rPr>
        <w:t xml:space="preserve">248</w:t>
      </w:r>
      <w:r>
        <w:t xml:space="preserve">, 108673.</w:t>
      </w:r>
      <w:r>
        <w:t xml:space="preserve"> </w:t>
      </w:r>
      <w:hyperlink r:id="rId25">
        <w:r>
          <w:rPr>
            <w:rStyle w:val="Hyperlink"/>
          </w:rPr>
          <w:t xml:space="preserve">https://doi.org/10.1016/j.biocon.2020.108673</w:t>
        </w:r>
      </w:hyperlink>
    </w:p>
    <w:p>
      <w:pPr>
        <w:numPr>
          <w:ilvl w:val="0"/>
          <w:numId w:val="1000"/>
        </w:numPr>
      </w:pPr>
      <w:r>
        <w:t xml:space="preserve">Gilroy, J. J., Edwards, F. A., Medina Uribe, C. A. M., Haugaasen, T., &amp; Edwards, D. P. (2014). Surrounding habitats mediate the trade‐off between land‐sharing and land-sparing agriculture in the Tropics.</w:t>
      </w:r>
      <w:r>
        <w:t xml:space="preserve"> </w:t>
      </w:r>
      <w:r>
        <w:rPr>
          <w:i/>
          <w:iCs/>
        </w:rPr>
        <w:t xml:space="preserve">Journal of Applied Ecology</w:t>
      </w:r>
      <w:r>
        <w:t xml:space="preserve">,</w:t>
      </w:r>
      <w:r>
        <w:t xml:space="preserve"> </w:t>
      </w:r>
      <w:r>
        <w:rPr>
          <w:i/>
          <w:iCs/>
        </w:rPr>
        <w:t xml:space="preserve">51</w:t>
      </w:r>
      <w:r>
        <w:t xml:space="preserve">, 1337–1346.</w:t>
      </w:r>
      <w:r>
        <w:t xml:space="preserve"> </w:t>
      </w:r>
      <w:hyperlink r:id="rId26">
        <w:r>
          <w:rPr>
            <w:rStyle w:val="Hyperlink"/>
          </w:rPr>
          <w:t xml:space="preserve">https://doi.org/10.1111/1365-2664.12284</w:t>
        </w:r>
      </w:hyperlink>
    </w:p>
    <w:p>
      <w:pPr>
        <w:numPr>
          <w:ilvl w:val="0"/>
          <w:numId w:val="1000"/>
        </w:numPr>
      </w:pPr>
      <w:r>
        <w:t xml:space="preserve">Malan, M., Carmenta, R., Gsottbauer, E., Hofman, P., Kontoleon, A., Swinfield, T., &amp; Voors, M. (2024). Evaluating the impacts of a large-scale voluntary REDD+ project in Sierra Leone.</w:t>
      </w:r>
      <w:r>
        <w:t xml:space="preserve"> </w:t>
      </w:r>
      <w:r>
        <w:rPr>
          <w:i/>
          <w:iCs/>
        </w:rPr>
        <w:t xml:space="preserve">Nature Sustainability</w:t>
      </w:r>
      <w:r>
        <w:t xml:space="preserve">,</w:t>
      </w:r>
      <w:r>
        <w:t xml:space="preserve"> </w:t>
      </w:r>
      <w:r>
        <w:rPr>
          <w:i/>
          <w:iCs/>
        </w:rPr>
        <w:t xml:space="preserve">7</w:t>
      </w:r>
      <w:r>
        <w:t xml:space="preserve">(2), 120–129.</w:t>
      </w:r>
      <w:r>
        <w:t xml:space="preserve"> </w:t>
      </w:r>
      <w:hyperlink r:id="rId27">
        <w:r>
          <w:rPr>
            <w:rStyle w:val="Hyperlink"/>
          </w:rPr>
          <w:t xml:space="preserve">https://doi.org/10.1038/s41893-023-01256-9</w:t>
        </w:r>
      </w:hyperlink>
    </w:p>
    <w:p>
      <w:pPr>
        <w:numPr>
          <w:ilvl w:val="0"/>
          <w:numId w:val="1000"/>
        </w:numPr>
      </w:pPr>
      <w:r>
        <w:t xml:space="preserve">Pendrill, F., Persson, U. M., Godar, J., &amp; Kastner, T. (2019). Deforestation displaced: Trade in forest-risk commodities and the prospects for a global forest transition.</w:t>
      </w:r>
      <w:r>
        <w:t xml:space="preserve"> </w:t>
      </w:r>
      <w:r>
        <w:rPr>
          <w:i/>
          <w:iCs/>
        </w:rPr>
        <w:t xml:space="preserve">Environmental Research Letters</w:t>
      </w:r>
      <w:r>
        <w:t xml:space="preserve">,</w:t>
      </w:r>
      <w:r>
        <w:t xml:space="preserve"> </w:t>
      </w:r>
      <w:r>
        <w:rPr>
          <w:i/>
          <w:iCs/>
        </w:rPr>
        <w:t xml:space="preserve">14</w:t>
      </w:r>
      <w:r>
        <w:t xml:space="preserve">(5), 055003.</w:t>
      </w:r>
      <w:r>
        <w:t xml:space="preserve"> </w:t>
      </w:r>
      <w:hyperlink r:id="rId28">
        <w:r>
          <w:rPr>
            <w:rStyle w:val="Hyperlink"/>
          </w:rPr>
          <w:t xml:space="preserve">https://doi.org/10.1088/1748-9326/ab0d41</w:t>
        </w:r>
      </w:hyperlink>
    </w:p>
    <w:p>
      <w:pPr>
        <w:numPr>
          <w:ilvl w:val="0"/>
          <w:numId w:val="1000"/>
        </w:numPr>
      </w:pPr>
      <w:r>
        <w:t xml:space="preserve">Shahi, K., Khanal, G., Jha, R. R., Bhusal, P., &amp; Silwal, T. (2023). What drives local communities’ attitudes toward the protected area? Insights from Bardia National Park, Nepal.</w:t>
      </w:r>
      <w:r>
        <w:t xml:space="preserve"> </w:t>
      </w:r>
      <w:r>
        <w:rPr>
          <w:i/>
          <w:iCs/>
        </w:rPr>
        <w:t xml:space="preserve">Conservation Science and Practice</w:t>
      </w:r>
      <w:r>
        <w:t xml:space="preserve">,</w:t>
      </w:r>
      <w:r>
        <w:t xml:space="preserve"> </w:t>
      </w:r>
      <w:r>
        <w:rPr>
          <w:i/>
          <w:iCs/>
        </w:rPr>
        <w:t xml:space="preserve">5</w:t>
      </w:r>
      <w:r>
        <w:t xml:space="preserve">(2), e12883.</w:t>
      </w:r>
      <w:r>
        <w:t xml:space="preserve"> </w:t>
      </w:r>
      <w:hyperlink r:id="rId29">
        <w:r>
          <w:rPr>
            <w:rStyle w:val="Hyperlink"/>
          </w:rPr>
          <w:t xml:space="preserve">https://doi.org/10.1111/csp2.12883</w:t>
        </w:r>
      </w:hyperlink>
    </w:p>
    <w:p>
      <w:pPr>
        <w:numPr>
          <w:ilvl w:val="0"/>
          <w:numId w:val="1000"/>
        </w:numPr>
      </w:pPr>
      <w:r>
        <w:t xml:space="preserve">Silwal, T., Devkota, B. P., Poudel, P., &amp; Morgan, M. (2022). Do Buffer Zone Programs Improve Local Livelihoods and Support Biodiversity Conservation? The Case of Sagarmatha National Park, Nepal.</w:t>
      </w:r>
      <w:r>
        <w:t xml:space="preserve"> </w:t>
      </w:r>
      <w:r>
        <w:rPr>
          <w:i/>
          <w:iCs/>
        </w:rPr>
        <w:t xml:space="preserve">Tropical Conservation Science</w:t>
      </w:r>
      <w:r>
        <w:t xml:space="preserve">,</w:t>
      </w:r>
      <w:r>
        <w:t xml:space="preserve"> </w:t>
      </w:r>
      <w:r>
        <w:rPr>
          <w:i/>
          <w:iCs/>
        </w:rPr>
        <w:t xml:space="preserve">15</w:t>
      </w:r>
      <w:r>
        <w:t xml:space="preserve">, 19400829221106670.</w:t>
      </w:r>
      <w:r>
        <w:t xml:space="preserve"> </w:t>
      </w:r>
      <w:hyperlink r:id="rId30">
        <w:r>
          <w:rPr>
            <w:rStyle w:val="Hyperlink"/>
          </w:rPr>
          <w:t xml:space="preserve">https://doi.org/10.1177/19400829221106670</w:t>
        </w:r>
      </w:hyperlink>
    </w:p>
    <w:bookmarkEnd w:id="31"/>
    <w:bookmarkStart w:id="35" w:name="picture-of-the-week"/>
    <w:p>
      <w:pPr>
        <w:pStyle w:val="Heading1"/>
      </w:pPr>
      <w:r>
        <w:t xml:space="preserve">Picture of the Week</w:t>
      </w:r>
    </w:p>
    <w:p>
      <w:pPr>
        <w:pStyle w:val="CaptionedFigure"/>
      </w:pPr>
      <w:r>
        <w:drawing>
          <wp:inline>
            <wp:extent cx="2857500" cy="5080000"/>
            <wp:effectExtent b="0" l="0" r="0" t="0"/>
            <wp:docPr descr="A picture I snapped of the Trinity Great Court Run" title="" id="33" name="Picture"/>
            <a:graphic>
              <a:graphicData uri="http://schemas.openxmlformats.org/drawingml/2006/picture">
                <pic:pic>
                  <pic:nvPicPr>
                    <pic:cNvPr descr="images/clipboard-3378194245.jpe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08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 picture I snapped of the Trinity Great Court Run</w:t>
      </w:r>
    </w:p>
    <w:bookmarkEnd w:id="35"/>
    <w:bookmarkStart w:id="39" w:name="download-this-report"/>
    <w:p>
      <w:pPr>
        <w:pStyle w:val="Heading1"/>
      </w:pPr>
      <w:r>
        <w:t xml:space="preserve">Download This Report</w:t>
      </w:r>
    </w:p>
    <w:p>
      <w:pPr>
        <w:pStyle w:val="Compact"/>
        <w:numPr>
          <w:ilvl w:val="0"/>
          <w:numId w:val="1029"/>
        </w:numPr>
      </w:pPr>
      <w:hyperlink r:id="rId36">
        <w:r>
          <w:rPr>
            <w:rStyle w:val="Hyperlink"/>
          </w:rPr>
          <w:t xml:space="preserve">PDF</w:t>
        </w:r>
      </w:hyperlink>
    </w:p>
    <w:p>
      <w:pPr>
        <w:pStyle w:val="Compact"/>
        <w:numPr>
          <w:ilvl w:val="0"/>
          <w:numId w:val="1029"/>
        </w:numPr>
      </w:pPr>
      <w:hyperlink r:id="rId37">
        <w:r>
          <w:rPr>
            <w:rStyle w:val="Hyperlink"/>
          </w:rPr>
          <w:t xml:space="preserve">Word</w:t>
        </w:r>
      </w:hyperlink>
    </w:p>
    <w:p>
      <w:pPr>
        <w:pStyle w:val="Compact"/>
        <w:numPr>
          <w:ilvl w:val="0"/>
          <w:numId w:val="1029"/>
        </w:numPr>
      </w:pPr>
      <w:hyperlink r:id="rId38">
        <w:r>
          <w:rPr>
            <w:rStyle w:val="Hyperlink"/>
          </w:rPr>
          <w:t xml:space="preserve">Back to All Reports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First progress report</w:t>
      </w:r>
    </w:p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2" Target="media/rId32.jpg" /><Relationship Type="http://schemas.openxmlformats.org/officeDocument/2006/relationships/hyperlink" Id="rId38" Target="../progress-reports.html" TargetMode="External" /><Relationship Type="http://schemas.openxmlformats.org/officeDocument/2006/relationships/hyperlink" Id="rId37" Target="251020_week1.docx" TargetMode="External" /><Relationship Type="http://schemas.openxmlformats.org/officeDocument/2006/relationships/hyperlink" Id="rId36" Target="251020_week1.pdf" TargetMode="External" /><Relationship Type="http://schemas.openxmlformats.org/officeDocument/2006/relationships/hyperlink" Id="rId20" Target="files/chapter1_plan.pdf" TargetMode="External" /><Relationship Type="http://schemas.openxmlformats.org/officeDocument/2006/relationships/hyperlink" Id="rId25" Target="https://doi.org/10.1016/j.biocon.2020.108673" TargetMode="External" /><Relationship Type="http://schemas.openxmlformats.org/officeDocument/2006/relationships/hyperlink" Id="rId27" Target="https://doi.org/10.1038/s41893-023-01256-9" TargetMode="External" /><Relationship Type="http://schemas.openxmlformats.org/officeDocument/2006/relationships/hyperlink" Id="rId28" Target="https://doi.org/10.1088/1748-9326/ab0d41" TargetMode="External" /><Relationship Type="http://schemas.openxmlformats.org/officeDocument/2006/relationships/hyperlink" Id="rId26" Target="https://doi.org/10.1111/1365-2664.12284" TargetMode="External" /><Relationship Type="http://schemas.openxmlformats.org/officeDocument/2006/relationships/hyperlink" Id="rId24" Target="https://doi.org/10.1111/csp2.12761" TargetMode="External" /><Relationship Type="http://schemas.openxmlformats.org/officeDocument/2006/relationships/hyperlink" Id="rId29" Target="https://doi.org/10.1111/csp2.12883" TargetMode="External" /><Relationship Type="http://schemas.openxmlformats.org/officeDocument/2006/relationships/hyperlink" Id="rId23" Target="https://doi.org/10.1162/DAED_a_00354" TargetMode="External" /><Relationship Type="http://schemas.openxmlformats.org/officeDocument/2006/relationships/hyperlink" Id="rId30" Target="https://doi.org/10.1177/1940082922110667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../progress-reports.html" TargetMode="External" /><Relationship Type="http://schemas.openxmlformats.org/officeDocument/2006/relationships/hyperlink" Id="rId37" Target="251020_week1.docx" TargetMode="External" /><Relationship Type="http://schemas.openxmlformats.org/officeDocument/2006/relationships/hyperlink" Id="rId36" Target="251020_week1.pdf" TargetMode="External" /><Relationship Type="http://schemas.openxmlformats.org/officeDocument/2006/relationships/hyperlink" Id="rId20" Target="files/chapter1_plan.pdf" TargetMode="External" /><Relationship Type="http://schemas.openxmlformats.org/officeDocument/2006/relationships/hyperlink" Id="rId25" Target="https://doi.org/10.1016/j.biocon.2020.108673" TargetMode="External" /><Relationship Type="http://schemas.openxmlformats.org/officeDocument/2006/relationships/hyperlink" Id="rId27" Target="https://doi.org/10.1038/s41893-023-01256-9" TargetMode="External" /><Relationship Type="http://schemas.openxmlformats.org/officeDocument/2006/relationships/hyperlink" Id="rId28" Target="https://doi.org/10.1088/1748-9326/ab0d41" TargetMode="External" /><Relationship Type="http://schemas.openxmlformats.org/officeDocument/2006/relationships/hyperlink" Id="rId26" Target="https://doi.org/10.1111/1365-2664.12284" TargetMode="External" /><Relationship Type="http://schemas.openxmlformats.org/officeDocument/2006/relationships/hyperlink" Id="rId24" Target="https://doi.org/10.1111/csp2.12761" TargetMode="External" /><Relationship Type="http://schemas.openxmlformats.org/officeDocument/2006/relationships/hyperlink" Id="rId29" Target="https://doi.org/10.1111/csp2.12883" TargetMode="External" /><Relationship Type="http://schemas.openxmlformats.org/officeDocument/2006/relationships/hyperlink" Id="rId23" Target="https://doi.org/10.1162/DAED_a_00354" TargetMode="External" /><Relationship Type="http://schemas.openxmlformats.org/officeDocument/2006/relationships/hyperlink" Id="rId30" Target="https://doi.org/10.1177/194008292211066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Progress Report</dc:title>
  <dc:creator>Jody Holland</dc:creator>
  <cp:keywords/>
  <dcterms:created xsi:type="dcterms:W3CDTF">2025-10-22T17:39:04Z</dcterms:created>
  <dcterms:modified xsi:type="dcterms:W3CDTF">2025-10-22T17:39:04Z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2025-10-20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subtitle">
    <vt:lpwstr>Getting Started</vt:lpwstr>
  </property>
  <property fmtid="{D5CDD505-2E9C-101B-9397-08002B2CF9AE}" pid="11" name="toc-title">
    <vt:lpwstr>Table of contents</vt:lpwstr>
  </property>
</Properties>
</file>